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46" w:rsidRPr="001A53DE" w:rsidRDefault="00E65446" w:rsidP="00CB0971">
      <w:pPr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bookmarkStart w:id="0" w:name="_GoBack"/>
      <w:bookmarkEnd w:id="0"/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 xml:space="preserve">ПРОЕКТНАЯ ДЕКЛАРАЦИЯ </w:t>
      </w: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:rsidR="00CC631E" w:rsidRPr="00803A0F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СТРОИТЕЛЬСТВО</w:t>
      </w:r>
      <w:r w:rsidR="00CC631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</w:t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ЖИЛОГО ДОМА С ПРИСТРАИВАЕМОЙ АВТОСТОЯНКОЙ. </w:t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</w:rPr>
        <w:br/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  <w:lang w:val="en-US"/>
        </w:rPr>
        <w:t>I</w:t>
      </w:r>
      <w:r w:rsidR="00803A0F" w:rsidRPr="00803A0F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</w:t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</w:rPr>
        <w:t>ЭТАП СТРОИТЕЛЬСТВА – ЖИЛОЙ ДОМ</w:t>
      </w:r>
    </w:p>
    <w:p w:rsidR="00E65446" w:rsidRPr="001A53DE" w:rsidRDefault="00E65446" w:rsidP="00CC631E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по адресу: </w:t>
      </w:r>
      <w:r w:rsidR="00803A0F">
        <w:rPr>
          <w:rFonts w:ascii="Book Antiqua" w:eastAsia="Arial Unicode MS" w:hAnsi="Book Antiqua" w:cs="Arial Unicode MS"/>
          <w:sz w:val="24"/>
          <w:szCs w:val="24"/>
        </w:rPr>
        <w:t>Санкт-Петербург, Тамбовская ул., д. 7, литера</w:t>
      </w:r>
      <w:proofErr w:type="gramStart"/>
      <w:r w:rsidR="00803A0F">
        <w:rPr>
          <w:rFonts w:ascii="Book Antiqua" w:eastAsia="Arial Unicode MS" w:hAnsi="Book Antiqua" w:cs="Arial Unicode MS"/>
          <w:sz w:val="24"/>
          <w:szCs w:val="24"/>
        </w:rPr>
        <w:t xml:space="preserve"> Б</w:t>
      </w:r>
      <w:proofErr w:type="gramEnd"/>
    </w:p>
    <w:p w:rsidR="001A53DE" w:rsidRDefault="001A53DE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</w:p>
    <w:p w:rsidR="00E65446" w:rsidRPr="001A53DE" w:rsidRDefault="00E65446" w:rsidP="00CB0971">
      <w:pPr>
        <w:pStyle w:val="ConsPlusTitle"/>
        <w:widowControl/>
        <w:spacing w:line="264" w:lineRule="auto"/>
        <w:jc w:val="center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Настоящая редакция опубликована </w:t>
      </w:r>
      <w:r w:rsidR="00803A0F">
        <w:rPr>
          <w:rFonts w:ascii="Book Antiqua" w:eastAsia="Arial Unicode MS" w:hAnsi="Book Antiqua" w:cs="Arial Unicode MS"/>
          <w:b w:val="0"/>
          <w:sz w:val="24"/>
          <w:szCs w:val="24"/>
        </w:rPr>
        <w:tab/>
      </w:r>
      <w:r w:rsidR="00960989">
        <w:rPr>
          <w:rFonts w:ascii="Book Antiqua" w:eastAsia="Arial Unicode MS" w:hAnsi="Book Antiqua" w:cs="Arial Unicode MS"/>
          <w:b w:val="0"/>
          <w:sz w:val="24"/>
          <w:szCs w:val="24"/>
        </w:rPr>
        <w:t>10</w:t>
      </w:r>
      <w:r w:rsidR="00FF266F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сентября</w:t>
      </w:r>
      <w:r w:rsidR="00803A0F">
        <w:rPr>
          <w:rFonts w:ascii="Book Antiqua" w:eastAsia="Arial Unicode MS" w:hAnsi="Book Antiqua" w:cs="Arial Unicode MS"/>
          <w:b w:val="0"/>
          <w:sz w:val="24"/>
          <w:szCs w:val="24"/>
        </w:rPr>
        <w:tab/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2014г.</w:t>
      </w: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на Интернет-сайте Застройщика по адресу: </w:t>
      </w:r>
      <w:hyperlink r:id="rId7" w:history="1">
        <w:r w:rsidRPr="001A53DE">
          <w:rPr>
            <w:rStyle w:val="a3"/>
            <w:rFonts w:ascii="Book Antiqua" w:eastAsia="Arial Unicode MS" w:hAnsi="Book Antiqua" w:cs="Arial Unicode MS"/>
            <w:sz w:val="24"/>
            <w:szCs w:val="24"/>
          </w:rPr>
          <w:t>www.trest47.ru</w:t>
        </w:r>
      </w:hyperlink>
    </w:p>
    <w:p w:rsidR="00B44CA6" w:rsidRPr="001A53DE" w:rsidRDefault="00B44CA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</w:p>
    <w:p w:rsidR="00E65446" w:rsidRPr="001A53DE" w:rsidRDefault="00E6544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Cs w:val="24"/>
          <w:u w:val="single"/>
        </w:rPr>
        <w:t>И</w:t>
      </w:r>
      <w:r w:rsidR="001A53DE" w:rsidRPr="001A53DE">
        <w:rPr>
          <w:rFonts w:ascii="Book Antiqua" w:eastAsia="Arial Unicode MS" w:hAnsi="Book Antiqua" w:cs="Arial Unicode MS"/>
          <w:szCs w:val="24"/>
          <w:u w:val="single"/>
        </w:rPr>
        <w:t>НФОРМАЦИЯ О ЗАСТРОЙЩИКЕ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Наименование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Сокращенное - ЗАО “47 ТРЕСТ”, полное - закрытое акционерное общество "47 ТРЕСТ".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Фактический и юридический адрес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Российская Федерация, Санкт-Петербург, 198188, ул. Васи Алексеева,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д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>ом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9, корп.1, литер</w:t>
      </w:r>
      <w:proofErr w:type="gramStart"/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А</w:t>
      </w:r>
      <w:proofErr w:type="gramEnd"/>
    </w:p>
    <w:p w:rsidR="00CB0971" w:rsidRPr="001A53DE" w:rsidRDefault="00CB0971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Режим работы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понедельника по четверг с 9-00 до 18-00, в пятницу с 9-00 до 17-00.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Банковские реквизиты</w:t>
      </w:r>
    </w:p>
    <w:p w:rsidR="00E65446" w:rsidRDefault="00E65446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ИНН 7807020417, БИК 044030704, КПП 780501001, ОГРН 1027802743935, ОКПО 01303562, кор.сч.30101810200000000704,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р.сч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. 40702810172000001125 в филиале ОПЕРУ -4 ОАО Банк ВТБ в Санкт-Петербурге</w:t>
      </w:r>
    </w:p>
    <w:p w:rsidR="00CB0971" w:rsidRPr="001A53DE" w:rsidRDefault="00CB0971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Сведения о руководителях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Генеральный директор ЗАО “47 ТРЕСТ” с 1996г.– Зарубин М.К., 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главный бухгалтер ЗАО “47 ТРЕСТ” с 1998г.– Пчелкина О.П.</w:t>
      </w:r>
    </w:p>
    <w:p w:rsidR="00CB0971" w:rsidRPr="001A53DE" w:rsidRDefault="00CB0971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1" w:name="reg"/>
      <w:bookmarkEnd w:id="1"/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Государственная регистрация застройщика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Закрытое акционерное общество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Свидетельство о регистрации № 8193 от 31 октября 1994г., 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 основным государственным регистрационным номером 1027802743935 от 04 декабря 2002г.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Устав ЗАО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зарегистрирован 27 июня 2002г. Регистрационной палатой Санкт-Петербурга за № 278204.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2" w:name="uch"/>
      <w:bookmarkEnd w:id="2"/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bookmarkStart w:id="3" w:name="proj"/>
      <w:bookmarkEnd w:id="3"/>
      <w:r w:rsidRPr="001A53DE">
        <w:rPr>
          <w:rFonts w:ascii="Book Antiqua" w:eastAsia="Arial Unicode MS" w:hAnsi="Book Antiqua" w:cs="Arial Unicode MS"/>
          <w:szCs w:val="24"/>
          <w:lang w:val="ru-RU"/>
        </w:rPr>
        <w:t>Зарубин Михаил Константинович – 57,29 %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Еранцев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Владимир Иванович – 12,58 %</w:t>
      </w:r>
    </w:p>
    <w:p w:rsidR="00CB0971" w:rsidRPr="001A53DE" w:rsidRDefault="00CB0971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566"/>
      </w:tblGrid>
      <w:tr w:rsidR="00E65446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bookmarkStart w:id="4" w:name="lic"/>
            <w:bookmarkEnd w:id="4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lastRenderedPageBreak/>
              <w:t>Строительный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1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 xml:space="preserve">Фактический срок ввода объекта в </w:t>
            </w: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эксплуата</w:t>
            </w:r>
            <w:proofErr w:type="spellEnd"/>
          </w:p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цию</w:t>
            </w:r>
            <w:proofErr w:type="spellEnd"/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Санкт-Петербург, Невский район, Шлиссельбургский пр., участок 1 (северо-восточнее дома 36, корп.1 по 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Шлиссельбургскому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Ленинградская область, Всеволожский район,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.Р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омановка</w:t>
            </w:r>
            <w:r w:rsidR="001A53DE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, 2-я очередь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</w:tr>
      <w:tr w:rsidR="00D67F79" w:rsidRPr="008B25A2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Санкт-Петербург,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.С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трельна, </w:t>
            </w:r>
            <w:r w:rsidR="008B25A2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br/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ул.Львовская, дом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1A53DE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846E86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</w:tr>
    </w:tbl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Вид деятельности застройщика,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допуск к которой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выдан члену СРО некоммерческое партнерство “Объединение строителей Санкт-Петербурга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”–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строительство,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5" w:name="mon"/>
      <w:bookmarkEnd w:id="5"/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E65446" w:rsidRPr="001A53DE" w:rsidRDefault="00E65446" w:rsidP="00CB0971">
      <w:pPr>
        <w:pStyle w:val="a8"/>
        <w:numPr>
          <w:ilvl w:val="0"/>
          <w:numId w:val="2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Финансовый результат за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 месяцев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B44CA6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B44CA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составил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11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530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тыс. руб.</w:t>
      </w:r>
    </w:p>
    <w:p w:rsidR="00E65446" w:rsidRPr="001A53DE" w:rsidRDefault="00E65446" w:rsidP="00857583">
      <w:pPr>
        <w:pStyle w:val="a8"/>
        <w:numPr>
          <w:ilvl w:val="0"/>
          <w:numId w:val="2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Размер кредиторской задолженности на 3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составил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117 114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тыс. руб.</w:t>
      </w:r>
    </w:p>
    <w:p w:rsidR="00E65446" w:rsidRPr="001A53DE" w:rsidRDefault="00E65446" w:rsidP="00857583">
      <w:pPr>
        <w:pStyle w:val="a8"/>
        <w:numPr>
          <w:ilvl w:val="0"/>
          <w:numId w:val="2"/>
        </w:numPr>
        <w:tabs>
          <w:tab w:val="num" w:pos="709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Размер дебиторской задолженности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на 3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составил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68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389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тыс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.р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уб.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</w:p>
    <w:p w:rsidR="00E65446" w:rsidRPr="001A53DE" w:rsidRDefault="00E65446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И</w:t>
      </w:r>
      <w:r w:rsid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НФОРМАЦИЯ ОБ ОБЪЕКТЕ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Цель проекта строительства</w:t>
      </w:r>
    </w:p>
    <w:p w:rsidR="00E65446" w:rsidRPr="00857583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Строительство </w:t>
      </w:r>
      <w:r w:rsidR="005A6D99" w:rsidRPr="001A53DE">
        <w:rPr>
          <w:rFonts w:ascii="Book Antiqua" w:eastAsia="Arial Unicode MS" w:hAnsi="Book Antiqua" w:cs="Arial Unicode MS"/>
          <w:szCs w:val="24"/>
          <w:lang w:val="ru-RU"/>
        </w:rPr>
        <w:t>жил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CC631E">
        <w:rPr>
          <w:rFonts w:ascii="Book Antiqua" w:eastAsia="Arial Unicode MS" w:hAnsi="Book Antiqua" w:cs="Arial Unicode MS"/>
          <w:szCs w:val="24"/>
          <w:lang w:val="ru-RU"/>
        </w:rPr>
        <w:t xml:space="preserve"> с пристр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 xml:space="preserve">оенной автостоянкой. </w:t>
      </w:r>
      <w:proofErr w:type="gramStart"/>
      <w:r w:rsidR="00857583">
        <w:rPr>
          <w:rFonts w:ascii="Book Antiqua" w:eastAsia="Arial Unicode MS" w:hAnsi="Book Antiqua" w:cs="Arial Unicode MS"/>
          <w:szCs w:val="24"/>
        </w:rPr>
        <w:t>I</w:t>
      </w:r>
      <w:r w:rsidR="00857583" w:rsidRPr="00857583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этап строительства – жилой дом.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Этапы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– проектирование Объекта –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завершено;</w:t>
      </w:r>
    </w:p>
    <w:p w:rsid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- строительство Объекта выполнено на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0%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Сроки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bCs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Завершение строительства Объекта – </w:t>
      </w:r>
      <w:r w:rsidRPr="001A53DE">
        <w:rPr>
          <w:rFonts w:ascii="Book Antiqua" w:eastAsia="Arial Unicode MS" w:hAnsi="Book Antiqua" w:cs="Arial Unicode MS"/>
          <w:bCs/>
          <w:szCs w:val="24"/>
        </w:rPr>
        <w:t>I</w:t>
      </w:r>
      <w:r w:rsidR="00CC631E">
        <w:rPr>
          <w:rFonts w:ascii="Book Antiqua" w:eastAsia="Arial Unicode MS" w:hAnsi="Book Antiqua" w:cs="Arial Unicode MS"/>
          <w:bCs/>
          <w:szCs w:val="24"/>
        </w:rPr>
        <w:t>I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квартал 201</w:t>
      </w:r>
      <w:r w:rsidR="00857583">
        <w:rPr>
          <w:rFonts w:ascii="Book Antiqua" w:eastAsia="Arial Unicode MS" w:hAnsi="Book Antiqua" w:cs="Arial Unicode MS"/>
          <w:bCs/>
          <w:szCs w:val="24"/>
          <w:lang w:val="ru-RU"/>
        </w:rPr>
        <w:t>6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года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Разрешение на строительство</w:t>
      </w:r>
    </w:p>
    <w:p w:rsidR="00634461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Разрешение на строительство №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78-17015020-2014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выдано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Службой государственного строительного надзора и экспертизы Санкт-Петербурга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июля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4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634461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Pr="00CB0971" w:rsidRDefault="009D7519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Кадастровый номер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участка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78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>1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3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7308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33</w:t>
      </w:r>
    </w:p>
    <w:p w:rsidR="00E65446" w:rsidRPr="00CB0971" w:rsidRDefault="00E65446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Границы и площадь земельного участка, предусмотренные проектной документацией</w:t>
      </w:r>
    </w:p>
    <w:p w:rsidR="00926A30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Земельн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ый участок площадью</w:t>
      </w:r>
      <w:r w:rsidR="00F336B4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1042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кв.м.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границы определены 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согласно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кадастров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ому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>аспорту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земельного участка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 (выписке из государственного кадастра недвижимости) от 06.06.2013 г. №47/201/13-168550</w:t>
      </w:r>
      <w:r w:rsidR="00D03CB8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1A53DE" w:rsidRDefault="00E65446" w:rsidP="00F77833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Участок, </w:t>
      </w:r>
      <w:r w:rsidR="00D03CB8">
        <w:rPr>
          <w:rFonts w:ascii="Book Antiqua" w:eastAsia="Arial Unicode MS" w:hAnsi="Book Antiqua" w:cs="Arial Unicode MS"/>
          <w:szCs w:val="24"/>
          <w:lang w:val="ru-RU"/>
        </w:rPr>
        <w:t>предназначенный для с</w:t>
      </w:r>
      <w:r w:rsidR="00D03CB8" w:rsidRPr="001A53DE">
        <w:rPr>
          <w:rFonts w:ascii="Book Antiqua" w:eastAsia="Arial Unicode MS" w:hAnsi="Book Antiqua" w:cs="Arial Unicode MS"/>
          <w:szCs w:val="24"/>
          <w:lang w:val="ru-RU"/>
        </w:rPr>
        <w:t>троительств</w:t>
      </w:r>
      <w:r w:rsidR="00D03CB8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D03CB8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 w:rsidRPr="001A53DE">
        <w:rPr>
          <w:rFonts w:ascii="Book Antiqua" w:eastAsia="Arial Unicode MS" w:hAnsi="Book Antiqua" w:cs="Arial Unicode MS"/>
          <w:szCs w:val="24"/>
          <w:lang w:val="ru-RU"/>
        </w:rPr>
        <w:t>жилого дома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 с пристроенной автостоянкой. </w:t>
      </w:r>
      <w:proofErr w:type="gramStart"/>
      <w:r w:rsidR="00F77833">
        <w:rPr>
          <w:rFonts w:ascii="Book Antiqua" w:eastAsia="Arial Unicode MS" w:hAnsi="Book Antiqua" w:cs="Arial Unicode MS"/>
          <w:szCs w:val="24"/>
        </w:rPr>
        <w:t>I</w:t>
      </w:r>
      <w:r w:rsidR="00F77833" w:rsidRPr="00857583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этап строительства – жилой дом.</w:t>
      </w:r>
      <w:proofErr w:type="gram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 Участок расположен </w:t>
      </w:r>
      <w:r w:rsidR="00F77833" w:rsidRPr="001A53DE">
        <w:rPr>
          <w:rFonts w:ascii="Book Antiqua" w:eastAsia="Arial Unicode MS" w:hAnsi="Book Antiqua" w:cs="Arial Unicode MS"/>
          <w:szCs w:val="24"/>
          <w:lang w:val="ru-RU"/>
        </w:rPr>
        <w:t>по адресу</w:t>
      </w:r>
      <w:r w:rsidR="00F77833" w:rsidRPr="00D03CB8">
        <w:rPr>
          <w:rFonts w:ascii="Book Antiqua" w:eastAsia="Arial Unicode MS" w:hAnsi="Book Antiqua" w:cs="Arial Unicode MS"/>
          <w:szCs w:val="24"/>
          <w:lang w:val="ru-RU"/>
        </w:rPr>
        <w:t xml:space="preserve">: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Санкт-Петербург, Тамбовская ул., д.7 лит</w:t>
      </w:r>
      <w:proofErr w:type="gramStart"/>
      <w:r w:rsidR="00F77833">
        <w:rPr>
          <w:rFonts w:ascii="Book Antiqua" w:eastAsia="Arial Unicode MS" w:hAnsi="Book Antiqua" w:cs="Arial Unicode MS"/>
          <w:szCs w:val="24"/>
          <w:lang w:val="ru-RU"/>
        </w:rPr>
        <w:t>.Б</w:t>
      </w:r>
      <w:proofErr w:type="gram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, в границах зоны регулирования застройки и хозяйственной деятельности 2 (участок ЗРЗ 2-1) в северо-восточной части квартала, ограниченного Лиговским пр., </w:t>
      </w:r>
      <w:proofErr w:type="spellStart"/>
      <w:r w:rsidR="00F77833">
        <w:rPr>
          <w:rFonts w:ascii="Book Antiqua" w:eastAsia="Arial Unicode MS" w:hAnsi="Book Antiqua" w:cs="Arial Unicode MS"/>
          <w:szCs w:val="24"/>
          <w:lang w:val="ru-RU"/>
        </w:rPr>
        <w:t>наб.Обводного</w:t>
      </w:r>
      <w:proofErr w:type="spell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 канала, </w:t>
      </w:r>
      <w:proofErr w:type="spellStart"/>
      <w:r w:rsidR="00F77833">
        <w:rPr>
          <w:rFonts w:ascii="Book Antiqua" w:eastAsia="Arial Unicode MS" w:hAnsi="Book Antiqua" w:cs="Arial Unicode MS"/>
          <w:szCs w:val="24"/>
          <w:lang w:val="ru-RU"/>
        </w:rPr>
        <w:t>ул.Тамбовской</w:t>
      </w:r>
      <w:proofErr w:type="spell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, </w:t>
      </w:r>
      <w:proofErr w:type="spellStart"/>
      <w:r w:rsidR="00F77833">
        <w:rPr>
          <w:rFonts w:ascii="Book Antiqua" w:eastAsia="Arial Unicode MS" w:hAnsi="Book Antiqua" w:cs="Arial Unicode MS"/>
          <w:szCs w:val="24"/>
          <w:lang w:val="ru-RU"/>
        </w:rPr>
        <w:t>ул.Курской</w:t>
      </w:r>
      <w:proofErr w:type="spellEnd"/>
      <w:r w:rsidR="00F77833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lastRenderedPageBreak/>
        <w:t xml:space="preserve"> 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Права застройщика на земельный участок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Участок находится в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собственности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ЗАО “47 ТРЕСТ”, что подтверждается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Свидетельством о государственной регистрации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,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выданным 01 октября 2012 года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правлением федеральной службы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государственной регистрации, кадастра и картографии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по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Санкт-Петербургу. Свидетельство 78-АЖ 692843, запись о регистрации №78-78-36/012/2012-332 от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01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октября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2 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Элементы благоустройства</w:t>
      </w:r>
    </w:p>
    <w:p w:rsidR="00E65446" w:rsidRPr="001A53DE" w:rsidRDefault="00E65446" w:rsidP="00CB0971">
      <w:pPr>
        <w:pStyle w:val="a6"/>
        <w:tabs>
          <w:tab w:val="num" w:pos="0"/>
        </w:tabs>
        <w:spacing w:line="264" w:lineRule="auto"/>
        <w:ind w:firstLine="0"/>
        <w:rPr>
          <w:rFonts w:ascii="Book Antiqua" w:eastAsia="Arial Unicode MS" w:hAnsi="Book Antiqua" w:cs="Arial Unicode MS"/>
          <w:i w:val="0"/>
          <w:iCs w:val="0"/>
          <w:szCs w:val="24"/>
        </w:rPr>
      </w:pP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На территории предусмотрено строительство проездов, тротуаров,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 xml:space="preserve"> площадок отдыха, </w:t>
      </w: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озеленение территории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A91837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Объект расположен на земельном участке по адресу: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Санкт-Петербург, Тамбовская ул., д.7 лит</w:t>
      </w:r>
      <w:proofErr w:type="gramStart"/>
      <w:r w:rsidR="00A91837">
        <w:rPr>
          <w:rFonts w:ascii="Book Antiqua" w:eastAsia="Arial Unicode MS" w:hAnsi="Book Antiqua" w:cs="Arial Unicode MS"/>
          <w:szCs w:val="24"/>
          <w:lang w:val="ru-RU"/>
        </w:rPr>
        <w:t>.Б</w:t>
      </w:r>
      <w:proofErr w:type="gramEnd"/>
      <w:r w:rsidR="00A91837">
        <w:rPr>
          <w:rFonts w:ascii="Book Antiqua" w:eastAsia="Arial Unicode MS" w:hAnsi="Book Antiqua" w:cs="Arial Unicode MS"/>
          <w:szCs w:val="24"/>
          <w:lang w:val="ru-RU"/>
        </w:rPr>
        <w:t>.</w:t>
      </w:r>
      <w:r w:rsidR="00A91837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В соответствии с проектной документацией производится строительство 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br/>
      </w:r>
      <w:r w:rsidR="00A91837" w:rsidRPr="001A53DE">
        <w:rPr>
          <w:rFonts w:ascii="Book Antiqua" w:eastAsia="Arial Unicode MS" w:hAnsi="Book Antiqua" w:cs="Arial Unicode MS"/>
          <w:szCs w:val="24"/>
          <w:lang w:val="ru-RU"/>
        </w:rPr>
        <w:t>жилого дома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 с пристроенной автостоянкой. </w:t>
      </w:r>
      <w:r w:rsidR="00A91837">
        <w:rPr>
          <w:rFonts w:ascii="Book Antiqua" w:eastAsia="Arial Unicode MS" w:hAnsi="Book Antiqua" w:cs="Arial Unicode MS"/>
          <w:szCs w:val="24"/>
        </w:rPr>
        <w:t>I</w:t>
      </w:r>
      <w:r w:rsidR="00A91837" w:rsidRPr="00857583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этап строительства – жилой дом</w:t>
      </w:r>
      <w:r w:rsidR="00F336B4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со следующими технико-экономическими показателями: площадь земельного участка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1042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площадь застройки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445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>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81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кв.м,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общая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площадь здания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3432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>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73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общая площадь квартир – 2604,26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строительный объем –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14117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>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81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куб.м.,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 в том числе ниже </w:t>
      </w:r>
      <w:proofErr w:type="spellStart"/>
      <w:r w:rsidR="00A91837">
        <w:rPr>
          <w:rFonts w:ascii="Book Antiqua" w:eastAsia="Arial Unicode MS" w:hAnsi="Book Antiqua" w:cs="Arial Unicode MS"/>
          <w:szCs w:val="24"/>
          <w:lang w:val="ru-RU"/>
        </w:rPr>
        <w:t>отм</w:t>
      </w:r>
      <w:proofErr w:type="spellEnd"/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. 0,000 – 1347,97 куб.м.;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количество квартир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38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этажность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5-7-12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этаж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ей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подвал.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общее количество квартир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38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из них: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Однокомнатных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Двухкомнатных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22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63136B" w:rsidRDefault="00A91837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Квартиры-студии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 xml:space="preserve"> – </w:t>
      </w:r>
      <w:r>
        <w:rPr>
          <w:rFonts w:ascii="Book Antiqua" w:eastAsia="Arial Unicode MS" w:hAnsi="Book Antiqua" w:cs="Arial Unicode MS"/>
          <w:szCs w:val="24"/>
          <w:lang w:val="ru-RU"/>
        </w:rPr>
        <w:t>12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общие коридоры,</w:t>
      </w:r>
      <w:r w:rsidR="009E178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помещение хранения люминесцентных ламп, </w:t>
      </w:r>
      <w:proofErr w:type="spellStart"/>
      <w:r w:rsidR="009E1781">
        <w:rPr>
          <w:rFonts w:ascii="Book Antiqua" w:eastAsia="Arial Unicode MS" w:hAnsi="Book Antiqua" w:cs="Arial Unicode MS"/>
          <w:color w:val="000000"/>
          <w:szCs w:val="24"/>
          <w:lang w:val="ru-RU"/>
        </w:rPr>
        <w:t>электрощитовая</w:t>
      </w:r>
      <w:proofErr w:type="spellEnd"/>
      <w:r w:rsidR="009E1781">
        <w:rPr>
          <w:rFonts w:ascii="Book Antiqua" w:eastAsia="Arial Unicode MS" w:hAnsi="Book Antiqua" w:cs="Arial Unicode MS"/>
          <w:color w:val="000000"/>
          <w:szCs w:val="24"/>
          <w:lang w:val="ru-RU"/>
        </w:rPr>
        <w:t>, колясочная, помещение консьерж,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</w:t>
      </w:r>
      <w:proofErr w:type="spellStart"/>
      <w:r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техподполье</w:t>
      </w:r>
      <w:proofErr w:type="spellEnd"/>
      <w:r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, в котором имеются: инженерные коммуникации,  водомерный узел,</w:t>
      </w:r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насосная пожаротушения, насосная АПТ, </w:t>
      </w:r>
      <w:proofErr w:type="spellStart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хоз</w:t>
      </w:r>
      <w:proofErr w:type="gramStart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.н</w:t>
      </w:r>
      <w:proofErr w:type="gramEnd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асосная</w:t>
      </w:r>
      <w:proofErr w:type="spellEnd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</w:t>
      </w:r>
      <w:r w:rsidR="00045A7D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кабельная</w:t>
      </w:r>
      <w:r w:rsidR="00194948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</w:t>
      </w:r>
      <w:r w:rsidR="00045A7D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2 </w:t>
      </w:r>
      <w:proofErr w:type="spellStart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венткамеры</w:t>
      </w:r>
      <w:proofErr w:type="spellEnd"/>
      <w:r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; иное обслуживающее более одного помещения в Объекте оборудование,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E65446" w:rsidRPr="00CB0971" w:rsidRDefault="00634461" w:rsidP="00CB0971">
      <w:pPr>
        <w:pStyle w:val="a8"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 </w:t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получения разрешения на ввод в эксплуатацию строящегося жилого дома</w:t>
      </w:r>
    </w:p>
    <w:p w:rsidR="00E65446" w:rsidRPr="001A53DE" w:rsidRDefault="009B3914" w:rsidP="00CB0971">
      <w:pPr>
        <w:spacing w:line="264" w:lineRule="auto"/>
        <w:ind w:right="-717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szCs w:val="24"/>
        </w:rPr>
        <w:t>I</w:t>
      </w:r>
      <w:r w:rsidR="00194948">
        <w:rPr>
          <w:rFonts w:ascii="Book Antiqua" w:eastAsia="Arial Unicode MS" w:hAnsi="Book Antiqua" w:cs="Arial Unicode MS"/>
          <w:szCs w:val="24"/>
        </w:rPr>
        <w:t>I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квартал 201</w:t>
      </w:r>
      <w:r w:rsidR="00312333">
        <w:rPr>
          <w:rFonts w:ascii="Book Antiqua" w:eastAsia="Arial Unicode MS" w:hAnsi="Book Antiqua" w:cs="Arial Unicode MS"/>
          <w:szCs w:val="24"/>
          <w:lang w:val="ru-RU"/>
        </w:rPr>
        <w:t>6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г.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lastRenderedPageBreak/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E65446" w:rsidRPr="001A53DE" w:rsidRDefault="00E65446" w:rsidP="00CB0971">
      <w:pPr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Государственные органы: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  <w:r w:rsidR="00312333">
        <w:rPr>
          <w:rFonts w:ascii="Book Antiqua" w:eastAsia="Arial Unicode MS" w:hAnsi="Book Antiqua" w:cs="Arial Unicode MS"/>
          <w:sz w:val="24"/>
          <w:szCs w:val="24"/>
        </w:rPr>
        <w:t>Санкт-Петербурга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- Организации, осуществляющие основные строительно-монтажные и другие работы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ЗАО "47 ТРЕСТ" – застройщик, заказчик;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представитель эксплуатирующей организации;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генеральный подрядчик – ЗАО "47 ТРЕСТ";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альный проектировщик ОАО “</w:t>
      </w:r>
      <w:proofErr w:type="spellStart"/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Лен</w:t>
      </w:r>
      <w:r w:rsidR="00312333">
        <w:rPr>
          <w:rFonts w:ascii="Book Antiqua" w:eastAsia="Arial Unicode MS" w:hAnsi="Book Antiqua" w:cs="Arial Unicode MS"/>
          <w:szCs w:val="24"/>
          <w:lang w:val="ru-RU"/>
        </w:rPr>
        <w:t>нии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проект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”;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субподрядные и привлечённые организации.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  <w:tab w:val="left" w:pos="567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ценообразующих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энергоснабжающих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организаций. Страхование вышеуказанных рисков застройщиком не производится.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Стоимость строительства (создания) Объекта</w:t>
      </w:r>
    </w:p>
    <w:p w:rsidR="00E65446" w:rsidRPr="001A53DE" w:rsidRDefault="00312333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290</w:t>
      </w:r>
      <w:r w:rsidR="00100BBB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46E86" w:rsidRPr="001A53DE">
        <w:rPr>
          <w:rFonts w:ascii="Book Antiqua" w:eastAsia="Arial Unicode MS" w:hAnsi="Book Antiqua" w:cs="Arial Unicode MS"/>
          <w:szCs w:val="24"/>
          <w:lang w:val="ru-RU"/>
        </w:rPr>
        <w:t>млн.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рублей.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подрядных организаций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ООО «СК Новый </w:t>
      </w:r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>Д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ом», ООО «</w:t>
      </w:r>
      <w:proofErr w:type="spellStart"/>
      <w:r w:rsidR="00194948">
        <w:rPr>
          <w:rFonts w:ascii="Book Antiqua" w:eastAsia="Arial Unicode MS" w:hAnsi="Book Antiqua" w:cs="Arial Unicode MS"/>
          <w:color w:val="000000"/>
          <w:szCs w:val="24"/>
          <w:lang w:val="ru-RU"/>
        </w:rPr>
        <w:t>Энергостройпроект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»,  ООО </w:t>
      </w:r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СК 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«</w:t>
      </w:r>
      <w:proofErr w:type="spellStart"/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>Кратон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"ЭМОС",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Спец</w:t>
      </w:r>
      <w:r w:rsidR="00194948">
        <w:rPr>
          <w:rFonts w:ascii="Book Antiqua" w:eastAsia="Arial Unicode MS" w:hAnsi="Book Antiqua" w:cs="Arial Unicode MS"/>
          <w:color w:val="000000"/>
          <w:szCs w:val="24"/>
          <w:lang w:val="ru-RU"/>
        </w:rPr>
        <w:t>П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роект</w:t>
      </w:r>
      <w:proofErr w:type="spellEnd"/>
      <w:r w:rsidR="00194948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СПб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НордСтрой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СПбМонтаж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-плюс", ООО «РУСГАНЗА Продактс»,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ЛенИнжСтрой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Даркостройпроект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ЗАО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Стройтехнология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>Сады и Парки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Способ обеспечения исполнения обязательств по договору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Иные договоры и сделки, на основании которых привлекаются денежные средства для строительства – отсутствуют.</w:t>
      </w:r>
    </w:p>
    <w:p w:rsidR="00667862" w:rsidRPr="001A53DE" w:rsidRDefault="00667862" w:rsidP="00CB0971">
      <w:pPr>
        <w:spacing w:line="264" w:lineRule="auto"/>
        <w:rPr>
          <w:rFonts w:ascii="Book Antiqua" w:eastAsia="Arial Unicode MS" w:hAnsi="Book Antiqua" w:cs="Arial Unicode MS"/>
          <w:szCs w:val="24"/>
          <w:lang w:val="ru-RU"/>
        </w:rPr>
      </w:pPr>
    </w:p>
    <w:sectPr w:rsidR="00667862" w:rsidRPr="001A53DE" w:rsidSect="00CB0971">
      <w:pgSz w:w="11906" w:h="16838"/>
      <w:pgMar w:top="993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1CE"/>
    <w:multiLevelType w:val="hybridMultilevel"/>
    <w:tmpl w:val="2528BF6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A6D6BEE"/>
    <w:multiLevelType w:val="hybridMultilevel"/>
    <w:tmpl w:val="D658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13C"/>
    <w:multiLevelType w:val="hybridMultilevel"/>
    <w:tmpl w:val="237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F68"/>
    <w:multiLevelType w:val="hybridMultilevel"/>
    <w:tmpl w:val="7FC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6"/>
    <w:rsid w:val="000155F8"/>
    <w:rsid w:val="00030819"/>
    <w:rsid w:val="00045A7D"/>
    <w:rsid w:val="0005340D"/>
    <w:rsid w:val="000B785F"/>
    <w:rsid w:val="000C5820"/>
    <w:rsid w:val="00100BBB"/>
    <w:rsid w:val="00194948"/>
    <w:rsid w:val="00195FA1"/>
    <w:rsid w:val="001A53DE"/>
    <w:rsid w:val="001D2A69"/>
    <w:rsid w:val="00266052"/>
    <w:rsid w:val="002B26DD"/>
    <w:rsid w:val="0030757D"/>
    <w:rsid w:val="00312333"/>
    <w:rsid w:val="00315DA0"/>
    <w:rsid w:val="00345385"/>
    <w:rsid w:val="003E67EA"/>
    <w:rsid w:val="004E5AC0"/>
    <w:rsid w:val="005A0B9A"/>
    <w:rsid w:val="005A6D99"/>
    <w:rsid w:val="005D5526"/>
    <w:rsid w:val="0063136B"/>
    <w:rsid w:val="00634461"/>
    <w:rsid w:val="00646656"/>
    <w:rsid w:val="0065259D"/>
    <w:rsid w:val="00667862"/>
    <w:rsid w:val="006E3BF9"/>
    <w:rsid w:val="007B0D32"/>
    <w:rsid w:val="00803A0F"/>
    <w:rsid w:val="00846E86"/>
    <w:rsid w:val="00857583"/>
    <w:rsid w:val="0087180F"/>
    <w:rsid w:val="00895A66"/>
    <w:rsid w:val="008A3CF5"/>
    <w:rsid w:val="008B25A2"/>
    <w:rsid w:val="008F018E"/>
    <w:rsid w:val="009149DC"/>
    <w:rsid w:val="00926A30"/>
    <w:rsid w:val="00960989"/>
    <w:rsid w:val="00970D01"/>
    <w:rsid w:val="009B3914"/>
    <w:rsid w:val="009D7519"/>
    <w:rsid w:val="009E1781"/>
    <w:rsid w:val="00A224E3"/>
    <w:rsid w:val="00A24B2A"/>
    <w:rsid w:val="00A56C07"/>
    <w:rsid w:val="00A70784"/>
    <w:rsid w:val="00A91837"/>
    <w:rsid w:val="00AB22F0"/>
    <w:rsid w:val="00AD7A8D"/>
    <w:rsid w:val="00AF7485"/>
    <w:rsid w:val="00B3233F"/>
    <w:rsid w:val="00B44CA6"/>
    <w:rsid w:val="00B61148"/>
    <w:rsid w:val="00BB4B37"/>
    <w:rsid w:val="00BD3796"/>
    <w:rsid w:val="00C860AD"/>
    <w:rsid w:val="00CA160E"/>
    <w:rsid w:val="00CB0971"/>
    <w:rsid w:val="00CC631E"/>
    <w:rsid w:val="00CF1551"/>
    <w:rsid w:val="00D03CB8"/>
    <w:rsid w:val="00D2677A"/>
    <w:rsid w:val="00D518E2"/>
    <w:rsid w:val="00D67F79"/>
    <w:rsid w:val="00D751B0"/>
    <w:rsid w:val="00D832A9"/>
    <w:rsid w:val="00E65446"/>
    <w:rsid w:val="00ED5247"/>
    <w:rsid w:val="00F336B4"/>
    <w:rsid w:val="00F41230"/>
    <w:rsid w:val="00F74C63"/>
    <w:rsid w:val="00F77833"/>
    <w:rsid w:val="00FC0EEC"/>
    <w:rsid w:val="00FE67F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est4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53F9-664F-45ED-8DED-298B32B6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2014-06-27T05:23:00Z</cp:lastPrinted>
  <dcterms:created xsi:type="dcterms:W3CDTF">2015-01-09T15:47:00Z</dcterms:created>
  <dcterms:modified xsi:type="dcterms:W3CDTF">2015-01-09T15:47:00Z</dcterms:modified>
</cp:coreProperties>
</file>